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007" w:type="dxa"/>
        <w:jc w:val="center"/>
        <w:tblLayout w:type="fixed"/>
        <w:tblCellMar>
          <w:top w:w="0" w:type="dxa"/>
          <w:left w:w="108" w:type="dxa"/>
          <w:bottom w:w="0" w:type="dxa"/>
          <w:right w:w="108" w:type="dxa"/>
        </w:tblCellMar>
      </w:tblPr>
      <w:tblGrid>
        <w:gridCol w:w="651"/>
        <w:gridCol w:w="967"/>
        <w:gridCol w:w="1045"/>
        <w:gridCol w:w="1386"/>
        <w:gridCol w:w="847"/>
        <w:gridCol w:w="267"/>
        <w:gridCol w:w="888"/>
        <w:gridCol w:w="1067"/>
        <w:gridCol w:w="202"/>
        <w:gridCol w:w="355"/>
        <w:gridCol w:w="416"/>
        <w:gridCol w:w="250"/>
        <w:gridCol w:w="586"/>
        <w:gridCol w:w="1080"/>
      </w:tblGrid>
      <w:tr>
        <w:tblPrEx>
          <w:tblCellMar>
            <w:top w:w="0" w:type="dxa"/>
            <w:left w:w="108" w:type="dxa"/>
            <w:bottom w:w="0" w:type="dxa"/>
            <w:right w:w="108" w:type="dxa"/>
          </w:tblCellMar>
        </w:tblPrEx>
        <w:trPr>
          <w:trHeight w:val="525" w:hRule="exact"/>
          <w:jc w:val="center"/>
        </w:trPr>
        <w:tc>
          <w:tcPr>
            <w:tcW w:w="10007" w:type="dxa"/>
            <w:gridSpan w:val="14"/>
            <w:tcBorders>
              <w:top w:val="nil"/>
              <w:left w:val="nil"/>
              <w:bottom w:val="nil"/>
              <w:right w:val="nil"/>
            </w:tcBorders>
            <w:vAlign w:val="center"/>
          </w:tcPr>
          <w:p>
            <w:pPr>
              <w:widowControl/>
              <w:spacing w:line="500" w:lineRule="exact"/>
              <w:ind w:firstLine="640"/>
              <w:jc w:val="center"/>
              <w:rPr>
                <w:rFonts w:ascii="宋体" w:hAnsi="宋体" w:cs="宋体"/>
                <w:b/>
                <w:bCs/>
                <w:kern w:val="0"/>
                <w:sz w:val="32"/>
                <w:szCs w:val="32"/>
              </w:rPr>
            </w:pPr>
            <w:r>
              <w:rPr>
                <w:rFonts w:hint="eastAsia" w:asciiTheme="minorEastAsia" w:hAnsiTheme="minorEastAsia" w:eastAsiaTheme="minorEastAsia"/>
                <w:b/>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007" w:type="dxa"/>
            <w:gridSpan w:val="14"/>
            <w:tcBorders>
              <w:top w:val="nil"/>
              <w:left w:val="nil"/>
              <w:bottom w:val="nil"/>
              <w:right w:val="nil"/>
            </w:tcBorders>
          </w:tcPr>
          <w:p>
            <w:pPr>
              <w:widowControl/>
              <w:ind w:firstLine="440"/>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2024</w:t>
            </w:r>
            <w:r>
              <w:rPr>
                <w:rFonts w:hint="eastAsia" w:ascii="宋体" w:hAnsi="宋体" w:cs="宋体"/>
                <w:kern w:val="0"/>
                <w:sz w:val="22"/>
              </w:rPr>
              <w:t>年度）</w:t>
            </w:r>
          </w:p>
        </w:tc>
      </w:tr>
      <w:tr>
        <w:tblPrEx>
          <w:tblCellMar>
            <w:top w:w="0" w:type="dxa"/>
            <w:left w:w="108" w:type="dxa"/>
            <w:bottom w:w="0" w:type="dxa"/>
            <w:right w:w="108" w:type="dxa"/>
          </w:tblCellMar>
        </w:tblPrEx>
        <w:trPr>
          <w:trHeight w:val="360" w:hRule="exact"/>
          <w:jc w:val="center"/>
        </w:trPr>
        <w:tc>
          <w:tcPr>
            <w:tcW w:w="161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8389" w:type="dxa"/>
            <w:gridSpan w:val="1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北京市文化执法信息化工作平台（二期）内部协同办公系统升级改造项目</w:t>
            </w:r>
          </w:p>
        </w:tc>
      </w:tr>
      <w:tr>
        <w:tblPrEx>
          <w:tblCellMar>
            <w:top w:w="0" w:type="dxa"/>
            <w:left w:w="108" w:type="dxa"/>
            <w:bottom w:w="0" w:type="dxa"/>
            <w:right w:w="108" w:type="dxa"/>
          </w:tblCellMar>
        </w:tblPrEx>
        <w:trPr>
          <w:trHeight w:val="352" w:hRule="exact"/>
          <w:jc w:val="center"/>
        </w:trPr>
        <w:tc>
          <w:tcPr>
            <w:tcW w:w="161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433"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北京市文化市场综合执法总队</w:t>
            </w:r>
          </w:p>
        </w:tc>
        <w:tc>
          <w:tcPr>
            <w:tcW w:w="126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687" w:type="dxa"/>
            <w:gridSpan w:val="5"/>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宣传和执法保障中心</w:t>
            </w:r>
          </w:p>
        </w:tc>
      </w:tr>
      <w:tr>
        <w:tblPrEx>
          <w:tblCellMar>
            <w:top w:w="0" w:type="dxa"/>
            <w:left w:w="108" w:type="dxa"/>
            <w:bottom w:w="0" w:type="dxa"/>
            <w:right w:w="108" w:type="dxa"/>
          </w:tblCellMar>
        </w:tblPrEx>
        <w:trPr>
          <w:trHeight w:val="486" w:hRule="exact"/>
          <w:jc w:val="center"/>
        </w:trPr>
        <w:tc>
          <w:tcPr>
            <w:tcW w:w="161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56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项目资金（万元）</w:t>
            </w:r>
          </w:p>
        </w:tc>
        <w:tc>
          <w:tcPr>
            <w:tcW w:w="2431"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年初     预算数</w:t>
            </w:r>
          </w:p>
        </w:tc>
        <w:tc>
          <w:tcPr>
            <w:tcW w:w="888"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全年     预算数</w:t>
            </w:r>
          </w:p>
        </w:tc>
        <w:tc>
          <w:tcPr>
            <w:tcW w:w="126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77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1080"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18" w:hRule="exact"/>
          <w:jc w:val="center"/>
        </w:trPr>
        <w:tc>
          <w:tcPr>
            <w:tcW w:w="161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2431"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794.06</w:t>
            </w:r>
          </w:p>
        </w:tc>
        <w:tc>
          <w:tcPr>
            <w:tcW w:w="888"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768.40</w:t>
            </w:r>
          </w:p>
        </w:tc>
        <w:tc>
          <w:tcPr>
            <w:tcW w:w="126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764.99</w:t>
            </w:r>
          </w:p>
        </w:tc>
        <w:tc>
          <w:tcPr>
            <w:tcW w:w="77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99.56%</w:t>
            </w:r>
          </w:p>
        </w:tc>
        <w:tc>
          <w:tcPr>
            <w:tcW w:w="1080"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9.96</w:t>
            </w:r>
          </w:p>
        </w:tc>
      </w:tr>
      <w:tr>
        <w:tblPrEx>
          <w:tblCellMar>
            <w:top w:w="0" w:type="dxa"/>
            <w:left w:w="108" w:type="dxa"/>
            <w:bottom w:w="0" w:type="dxa"/>
            <w:right w:w="108" w:type="dxa"/>
          </w:tblCellMar>
        </w:tblPrEx>
        <w:trPr>
          <w:trHeight w:val="406" w:hRule="exact"/>
          <w:jc w:val="center"/>
        </w:trPr>
        <w:tc>
          <w:tcPr>
            <w:tcW w:w="161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2431"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794.06</w:t>
            </w:r>
          </w:p>
        </w:tc>
        <w:tc>
          <w:tcPr>
            <w:tcW w:w="888"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rPr>
              <w:t>768.40</w:t>
            </w:r>
          </w:p>
        </w:tc>
        <w:tc>
          <w:tcPr>
            <w:tcW w:w="126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764.99</w:t>
            </w:r>
          </w:p>
        </w:tc>
        <w:tc>
          <w:tcPr>
            <w:tcW w:w="77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99.56%</w:t>
            </w:r>
          </w:p>
        </w:tc>
        <w:tc>
          <w:tcPr>
            <w:tcW w:w="1080"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1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2431"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0.00</w:t>
            </w:r>
          </w:p>
        </w:tc>
        <w:tc>
          <w:tcPr>
            <w:tcW w:w="888"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26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77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080"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1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2431"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888"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1269"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0.00</w:t>
            </w:r>
          </w:p>
        </w:tc>
        <w:tc>
          <w:tcPr>
            <w:tcW w:w="771"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080"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51" w:type="dxa"/>
            <w:vMerge w:val="restart"/>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400" w:type="dxa"/>
            <w:gridSpan w:val="6"/>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956" w:type="dxa"/>
            <w:gridSpan w:val="7"/>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3054" w:hRule="exact"/>
          <w:jc w:val="center"/>
        </w:trPr>
        <w:tc>
          <w:tcPr>
            <w:tcW w:w="651" w:type="dxa"/>
            <w:vMerge w:val="continue"/>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5400" w:type="dxa"/>
            <w:gridSpan w:val="6"/>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按照《北京市智慧文化执法建设顶层设计（2023年——2025年）》的要求，计划于2024年针对北京市文化执法信息化工作平台内部协同办公系统的升级改造工作，具体改造内容包括升级改造协同办公子系统及执法队伍建设管理子系统，新建财务内控子系统及数字档案管理子系统，并通过文化执法统一门户接入“京办”，全面提升总队工作协同能力、内部管控能力、平台支撑能力和统一服务能力。</w:t>
            </w:r>
          </w:p>
          <w:p>
            <w:pPr>
              <w:spacing w:line="240" w:lineRule="exact"/>
              <w:ind w:firstLine="0" w:firstLineChars="0"/>
              <w:jc w:val="center"/>
              <w:rPr>
                <w:rFonts w:hint="eastAsia" w:ascii="宋体" w:hAnsi="宋体" w:eastAsia="宋体" w:cs="宋体"/>
                <w:kern w:val="0"/>
                <w:sz w:val="18"/>
                <w:szCs w:val="18"/>
              </w:rPr>
            </w:pPr>
          </w:p>
        </w:tc>
        <w:tc>
          <w:tcPr>
            <w:tcW w:w="3956" w:type="dxa"/>
            <w:gridSpan w:val="7"/>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按照《北京市智慧文化执法建设顶层设计（2023年——2025年）》的要求，</w:t>
            </w:r>
            <w:r>
              <w:rPr>
                <w:rFonts w:hint="eastAsia" w:ascii="宋体" w:hAnsi="宋体" w:eastAsia="宋体" w:cs="宋体"/>
                <w:kern w:val="0"/>
                <w:sz w:val="18"/>
                <w:szCs w:val="18"/>
                <w:lang w:val="en-US" w:eastAsia="zh-CN"/>
              </w:rPr>
              <w:t>总队</w:t>
            </w:r>
            <w:r>
              <w:rPr>
                <w:rFonts w:hint="eastAsia" w:ascii="宋体" w:hAnsi="宋体" w:eastAsia="宋体" w:cs="宋体"/>
                <w:kern w:val="0"/>
                <w:sz w:val="18"/>
                <w:szCs w:val="18"/>
              </w:rPr>
              <w:t>于2024年针对北京市文化执法信息化工作平台内部协同办公系统的升级改造工作，具体改造内容包括升级改造协同办公子系统及执法队伍建设管理子系统，新建财务内控子系统及数字档案管理子系统</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通过</w:t>
            </w:r>
            <w:r>
              <w:rPr>
                <w:rFonts w:hint="eastAsia" w:ascii="宋体" w:hAnsi="宋体" w:eastAsia="宋体" w:cs="宋体"/>
                <w:kern w:val="0"/>
                <w:sz w:val="18"/>
                <w:szCs w:val="18"/>
                <w:lang w:val="en-US" w:eastAsia="zh-CN"/>
              </w:rPr>
              <w:t>统一支撑平台建设的统一门户，集成多个业务系统，实现一个“京办”账号可以访问和操作多个业务系统，提升了总队办公人员的工作效率与使用体验</w:t>
            </w: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推动</w:t>
            </w:r>
            <w:r>
              <w:rPr>
                <w:rFonts w:hint="eastAsia" w:ascii="宋体" w:hAnsi="宋体" w:eastAsia="宋体" w:cs="宋体"/>
                <w:kern w:val="0"/>
                <w:sz w:val="18"/>
                <w:szCs w:val="18"/>
              </w:rPr>
              <w:t>提升</w:t>
            </w:r>
            <w:r>
              <w:rPr>
                <w:rFonts w:hint="eastAsia" w:ascii="宋体" w:hAnsi="宋体" w:eastAsia="宋体" w:cs="宋体"/>
                <w:kern w:val="0"/>
                <w:sz w:val="18"/>
                <w:szCs w:val="18"/>
                <w:lang w:eastAsia="zh-CN"/>
              </w:rPr>
              <w:t>了</w:t>
            </w:r>
            <w:r>
              <w:rPr>
                <w:rFonts w:hint="eastAsia" w:ascii="宋体" w:hAnsi="宋体" w:eastAsia="宋体" w:cs="宋体"/>
                <w:kern w:val="0"/>
                <w:sz w:val="18"/>
                <w:szCs w:val="18"/>
              </w:rPr>
              <w:t>总队工作协同能力、内部管控能力、平台支撑能力和统一服务能力。</w:t>
            </w:r>
          </w:p>
        </w:tc>
      </w:tr>
      <w:tr>
        <w:tblPrEx>
          <w:tblCellMar>
            <w:top w:w="0" w:type="dxa"/>
            <w:left w:w="108" w:type="dxa"/>
            <w:bottom w:w="0" w:type="dxa"/>
            <w:right w:w="108" w:type="dxa"/>
          </w:tblCellMar>
        </w:tblPrEx>
        <w:trPr>
          <w:trHeight w:val="580" w:hRule="exact"/>
          <w:jc w:val="center"/>
        </w:trPr>
        <w:tc>
          <w:tcPr>
            <w:tcW w:w="651" w:type="dxa"/>
            <w:vMerge w:val="restart"/>
            <w:tcBorders>
              <w:top w:val="single" w:color="auto" w:sz="4" w:space="0"/>
              <w:left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7"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45"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23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15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1067"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91" w:hRule="exact"/>
          <w:jc w:val="center"/>
        </w:trPr>
        <w:tc>
          <w:tcPr>
            <w:tcW w:w="651" w:type="dxa"/>
            <w:vMerge w:val="continue"/>
            <w:tcBorders>
              <w:left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967" w:type="dxa"/>
            <w:vMerge w:val="restart"/>
            <w:tcBorders>
              <w:left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产出指标</w:t>
            </w:r>
          </w:p>
        </w:tc>
        <w:tc>
          <w:tcPr>
            <w:tcW w:w="1045" w:type="dxa"/>
            <w:vMerge w:val="restart"/>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23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安全测评通过率</w:t>
            </w:r>
          </w:p>
        </w:tc>
        <w:tc>
          <w:tcPr>
            <w:tcW w:w="1155"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067"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666"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1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428" w:hRule="exact"/>
          <w:jc w:val="center"/>
        </w:trPr>
        <w:tc>
          <w:tcPr>
            <w:tcW w:w="651" w:type="dxa"/>
            <w:vMerge w:val="continue"/>
            <w:tcBorders>
              <w:left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967" w:type="dxa"/>
            <w:vMerge w:val="continue"/>
            <w:tcBorders>
              <w:left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1045" w:type="dxa"/>
            <w:vMerge w:val="continue"/>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223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软件测评通过率</w:t>
            </w:r>
          </w:p>
        </w:tc>
        <w:tc>
          <w:tcPr>
            <w:tcW w:w="1155"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067"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666"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650" w:hRule="exact"/>
          <w:jc w:val="center"/>
        </w:trPr>
        <w:tc>
          <w:tcPr>
            <w:tcW w:w="651" w:type="dxa"/>
            <w:vMerge w:val="continue"/>
            <w:tcBorders>
              <w:left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967" w:type="dxa"/>
            <w:vMerge w:val="continue"/>
            <w:tcBorders>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1045" w:type="dxa"/>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23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完成全部建设内容并上线运行</w:t>
            </w:r>
          </w:p>
        </w:tc>
        <w:tc>
          <w:tcPr>
            <w:tcW w:w="1155"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≤12个月</w:t>
            </w:r>
          </w:p>
        </w:tc>
        <w:tc>
          <w:tcPr>
            <w:tcW w:w="1067"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=10个月</w:t>
            </w:r>
          </w:p>
        </w:tc>
        <w:tc>
          <w:tcPr>
            <w:tcW w:w="55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666"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1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93" w:hRule="exact"/>
          <w:jc w:val="center"/>
        </w:trPr>
        <w:tc>
          <w:tcPr>
            <w:tcW w:w="651" w:type="dxa"/>
            <w:vMerge w:val="continue"/>
            <w:tcBorders>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967" w:type="dxa"/>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1045" w:type="dxa"/>
            <w:tcBorders>
              <w:top w:val="nil"/>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经济</w:t>
            </w:r>
            <w:r>
              <w:rPr>
                <w:rFonts w:hint="eastAsia" w:ascii="宋体" w:hAnsi="宋体" w:eastAsia="宋体" w:cs="宋体"/>
                <w:kern w:val="0"/>
                <w:sz w:val="18"/>
                <w:szCs w:val="18"/>
              </w:rPr>
              <w:t>成本指标</w:t>
            </w:r>
          </w:p>
        </w:tc>
        <w:tc>
          <w:tcPr>
            <w:tcW w:w="223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项目总成本</w:t>
            </w:r>
          </w:p>
        </w:tc>
        <w:tc>
          <w:tcPr>
            <w:tcW w:w="1155"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rPr>
            </w:pPr>
            <w:r>
              <w:rPr>
                <w:rFonts w:hint="eastAsia" w:ascii="宋体" w:hAnsi="宋体" w:eastAsia="宋体" w:cs="宋体"/>
                <w:kern w:val="0"/>
                <w:sz w:val="18"/>
                <w:szCs w:val="18"/>
                <w:lang w:val="en-US" w:eastAsia="zh-CN"/>
              </w:rPr>
              <w:t>≤794.06万元</w:t>
            </w:r>
          </w:p>
        </w:tc>
        <w:tc>
          <w:tcPr>
            <w:tcW w:w="1067" w:type="dxa"/>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=764.9885万元</w:t>
            </w:r>
          </w:p>
        </w:tc>
        <w:tc>
          <w:tcPr>
            <w:tcW w:w="55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666"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1921" w:hRule="exact"/>
          <w:jc w:val="center"/>
        </w:trPr>
        <w:tc>
          <w:tcPr>
            <w:tcW w:w="65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967"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效益</w:t>
            </w:r>
          </w:p>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045"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23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left"/>
              <w:rPr>
                <w:rFonts w:hint="eastAsia" w:ascii="宋体" w:hAnsi="宋体" w:eastAsia="宋体" w:cs="宋体"/>
                <w:kern w:val="0"/>
                <w:sz w:val="18"/>
                <w:szCs w:val="18"/>
                <w:lang w:eastAsia="zh-CN"/>
              </w:rPr>
            </w:pPr>
            <w:r>
              <w:rPr>
                <w:rFonts w:hint="eastAsia" w:ascii="宋体" w:hAnsi="宋体" w:eastAsia="宋体" w:cs="宋体"/>
                <w:kern w:val="0"/>
                <w:sz w:val="18"/>
                <w:szCs w:val="18"/>
              </w:rPr>
              <w:t>提高日常工作效率，推进文化市场监管领域智慧城市发展</w:t>
            </w:r>
            <w:r>
              <w:rPr>
                <w:rFonts w:hint="eastAsia" w:ascii="宋体" w:hAnsi="宋体" w:eastAsia="宋体" w:cs="宋体"/>
                <w:kern w:val="0"/>
                <w:sz w:val="18"/>
                <w:szCs w:val="18"/>
                <w:lang w:eastAsia="zh-CN"/>
              </w:rPr>
              <w:t>。</w:t>
            </w:r>
          </w:p>
        </w:tc>
        <w:tc>
          <w:tcPr>
            <w:tcW w:w="115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良</w:t>
            </w:r>
          </w:p>
        </w:tc>
        <w:tc>
          <w:tcPr>
            <w:tcW w:w="1067"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全面提升总队内部办公的工作效率，促进智慧城市发展。</w:t>
            </w:r>
          </w:p>
        </w:tc>
        <w:tc>
          <w:tcPr>
            <w:tcW w:w="557"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偏差原因：相应的支撑材料不足。</w:t>
            </w:r>
          </w:p>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改进措施：系统运行过程中，加强统计数据收集，有效佐证效益指标的实现程度。</w:t>
            </w:r>
          </w:p>
        </w:tc>
      </w:tr>
      <w:tr>
        <w:tblPrEx>
          <w:tblCellMar>
            <w:top w:w="0" w:type="dxa"/>
            <w:left w:w="108" w:type="dxa"/>
            <w:bottom w:w="0" w:type="dxa"/>
            <w:right w:w="108" w:type="dxa"/>
          </w:tblCellMar>
        </w:tblPrEx>
        <w:trPr>
          <w:trHeight w:val="2036" w:hRule="exact"/>
          <w:jc w:val="center"/>
        </w:trPr>
        <w:tc>
          <w:tcPr>
            <w:tcW w:w="651" w:type="dxa"/>
            <w:vMerge w:val="continue"/>
            <w:tcBorders>
              <w:top w:val="single" w:color="auto" w:sz="4" w:space="0"/>
              <w:left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96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104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223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left"/>
              <w:rPr>
                <w:rFonts w:hint="eastAsia" w:ascii="宋体" w:hAnsi="宋体" w:eastAsia="宋体" w:cs="宋体"/>
                <w:kern w:val="0"/>
                <w:sz w:val="18"/>
                <w:szCs w:val="18"/>
                <w:lang w:eastAsia="zh-CN"/>
              </w:rPr>
            </w:pPr>
            <w:r>
              <w:rPr>
                <w:rFonts w:hint="eastAsia" w:ascii="宋体" w:hAnsi="宋体" w:eastAsia="宋体" w:cs="宋体"/>
                <w:kern w:val="0"/>
                <w:sz w:val="18"/>
                <w:szCs w:val="18"/>
              </w:rPr>
              <w:t>提升总队内部协同及管控能力</w:t>
            </w:r>
            <w:r>
              <w:rPr>
                <w:rFonts w:hint="eastAsia" w:ascii="宋体" w:hAnsi="宋体" w:eastAsia="宋体" w:cs="宋体"/>
                <w:kern w:val="0"/>
                <w:sz w:val="18"/>
                <w:szCs w:val="18"/>
                <w:lang w:eastAsia="zh-CN"/>
              </w:rPr>
              <w:t>。</w:t>
            </w:r>
          </w:p>
        </w:tc>
        <w:tc>
          <w:tcPr>
            <w:tcW w:w="115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良</w:t>
            </w:r>
          </w:p>
        </w:tc>
        <w:tc>
          <w:tcPr>
            <w:tcW w:w="1067"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从</w:t>
            </w:r>
            <w:r>
              <w:rPr>
                <w:rFonts w:hint="eastAsia" w:ascii="宋体" w:hAnsi="宋体" w:eastAsia="宋体" w:cs="宋体"/>
                <w:kern w:val="0"/>
                <w:sz w:val="18"/>
                <w:szCs w:val="18"/>
                <w:lang w:val="en-US" w:eastAsia="zh-CN"/>
              </w:rPr>
              <w:t>OA、人事、财务、档案等全方面实现电子化，有效提升内部办公管控能力。</w:t>
            </w:r>
          </w:p>
        </w:tc>
        <w:tc>
          <w:tcPr>
            <w:tcW w:w="557"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偏差原因：证明能力提升的支撑材料不足。</w:t>
            </w:r>
          </w:p>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改进措施：在项目绩效指标设置时，制定更加具体详细的指标值，同时加强佐证材料收集。</w:t>
            </w:r>
          </w:p>
        </w:tc>
      </w:tr>
      <w:tr>
        <w:tblPrEx>
          <w:tblCellMar>
            <w:top w:w="0" w:type="dxa"/>
            <w:left w:w="108" w:type="dxa"/>
            <w:bottom w:w="0" w:type="dxa"/>
            <w:right w:w="108" w:type="dxa"/>
          </w:tblCellMar>
        </w:tblPrEx>
        <w:trPr>
          <w:trHeight w:val="2828" w:hRule="exact"/>
          <w:jc w:val="center"/>
        </w:trPr>
        <w:tc>
          <w:tcPr>
            <w:tcW w:w="651" w:type="dxa"/>
            <w:vMerge w:val="continue"/>
            <w:tcBorders>
              <w:left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c>
          <w:tcPr>
            <w:tcW w:w="967" w:type="dxa"/>
            <w:tcBorders>
              <w:top w:val="single" w:color="auto" w:sz="4" w:space="0"/>
              <w:left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045" w:type="dxa"/>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233"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用户满意度</w:t>
            </w:r>
          </w:p>
        </w:tc>
        <w:tc>
          <w:tcPr>
            <w:tcW w:w="1155"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95%</w:t>
            </w:r>
          </w:p>
        </w:tc>
        <w:tc>
          <w:tcPr>
            <w:tcW w:w="1067" w:type="dxa"/>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left"/>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偏差原因：</w:t>
            </w:r>
            <w:bookmarkStart w:id="0" w:name="_GoBack"/>
            <w:r>
              <w:rPr>
                <w:rFonts w:hint="eastAsia" w:ascii="宋体" w:hAnsi="宋体" w:eastAsia="宋体" w:cs="宋体"/>
                <w:color w:val="auto"/>
                <w:kern w:val="0"/>
                <w:sz w:val="18"/>
                <w:szCs w:val="18"/>
                <w:highlight w:val="none"/>
                <w:lang w:val="en-US" w:eastAsia="zh-CN"/>
              </w:rPr>
              <w:t>满意度调查样本量较少</w:t>
            </w:r>
            <w:r>
              <w:rPr>
                <w:rFonts w:hint="eastAsia" w:ascii="宋体" w:hAnsi="宋体" w:eastAsia="宋体" w:cs="宋体"/>
                <w:color w:val="auto"/>
                <w:kern w:val="0"/>
                <w:sz w:val="18"/>
                <w:szCs w:val="18"/>
                <w:highlight w:val="none"/>
                <w:lang w:val="en-US" w:eastAsia="zh-CN"/>
              </w:rPr>
              <w:t>。</w:t>
            </w:r>
            <w:bookmarkEnd w:id="0"/>
          </w:p>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color w:val="auto"/>
                <w:kern w:val="0"/>
                <w:sz w:val="18"/>
                <w:szCs w:val="18"/>
                <w:highlight w:val="none"/>
                <w:lang w:val="en-US" w:eastAsia="zh-CN"/>
              </w:rPr>
              <w:t>改进措施：加大满意度调查力度，增加满意度调查样本量，充分了解服务对象对项目的满意度情况。</w:t>
            </w:r>
          </w:p>
        </w:tc>
      </w:tr>
      <w:tr>
        <w:tblPrEx>
          <w:tblCellMar>
            <w:top w:w="0" w:type="dxa"/>
            <w:left w:w="108" w:type="dxa"/>
            <w:bottom w:w="0" w:type="dxa"/>
            <w:right w:w="108" w:type="dxa"/>
          </w:tblCellMar>
        </w:tblPrEx>
        <w:trPr>
          <w:trHeight w:val="796" w:hRule="exact"/>
          <w:jc w:val="center"/>
        </w:trPr>
        <w:tc>
          <w:tcPr>
            <w:tcW w:w="7118"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总分</w:t>
            </w:r>
          </w:p>
        </w:tc>
        <w:tc>
          <w:tcPr>
            <w:tcW w:w="557"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666" w:type="dxa"/>
            <w:gridSpan w:val="2"/>
            <w:tcBorders>
              <w:top w:val="nil"/>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93.96</w:t>
            </w:r>
          </w:p>
        </w:tc>
        <w:tc>
          <w:tcPr>
            <w:tcW w:w="1666" w:type="dxa"/>
            <w:gridSpan w:val="2"/>
            <w:tcBorders>
              <w:top w:val="single" w:color="auto" w:sz="4" w:space="0"/>
              <w:left w:val="nil"/>
              <w:bottom w:val="single" w:color="auto" w:sz="4" w:space="0"/>
              <w:right w:val="single" w:color="auto" w:sz="4" w:space="0"/>
            </w:tcBorders>
            <w:vAlign w:val="center"/>
          </w:tcPr>
          <w:p>
            <w:pPr>
              <w:spacing w:line="240" w:lineRule="exact"/>
              <w:ind w:firstLine="0" w:firstLineChars="0"/>
              <w:jc w:val="center"/>
              <w:rPr>
                <w:rFonts w:hint="eastAsia" w:ascii="宋体" w:hAnsi="宋体" w:eastAsia="宋体" w:cs="宋体"/>
                <w:kern w:val="0"/>
                <w:sz w:val="18"/>
                <w:szCs w:val="18"/>
              </w:rPr>
            </w:pPr>
          </w:p>
        </w:tc>
      </w:tr>
    </w:tbl>
    <w:p>
      <w:pPr>
        <w:rPr>
          <w:rFonts w:hint="eastAsia" w:ascii="宋体" w:hAnsi="宋体" w:eastAsia="宋体" w:cs="宋体"/>
          <w:sz w:val="18"/>
          <w:szCs w:val="18"/>
        </w:rPr>
      </w:pPr>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34E5E"/>
    <w:rsid w:val="068516F9"/>
    <w:rsid w:val="08331281"/>
    <w:rsid w:val="1A734E5E"/>
    <w:rsid w:val="201017D0"/>
    <w:rsid w:val="27736537"/>
    <w:rsid w:val="344142C9"/>
    <w:rsid w:val="3B1F4B0A"/>
    <w:rsid w:val="50946E84"/>
    <w:rsid w:val="5359453F"/>
    <w:rsid w:val="592A2449"/>
    <w:rsid w:val="5FBE5DA3"/>
    <w:rsid w:val="6D7A7083"/>
    <w:rsid w:val="6FBF1AFD"/>
    <w:rsid w:val="75463D58"/>
    <w:rsid w:val="7EEF8305"/>
    <w:rsid w:val="7F9F39CF"/>
    <w:rsid w:val="7FCE5F53"/>
    <w:rsid w:val="7FFD67DB"/>
    <w:rsid w:val="F6CCC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_GB2312" w:cs="Times New Roman"/>
      <w:kern w:val="2"/>
      <w:sz w:val="28"/>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unhideWhenUsed/>
    <w:qFormat/>
    <w:uiPriority w:val="99"/>
    <w:rPr>
      <w:rFonts w:ascii="宋体" w:hAnsi="Courier New" w:eastAsia="宋体" w:cs="Courier New"/>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1028</Words>
  <Characters>1173</Characters>
  <Lines>0</Lines>
  <Paragraphs>0</Paragraphs>
  <TotalTime>10</TotalTime>
  <ScaleCrop>false</ScaleCrop>
  <LinksUpToDate>false</LinksUpToDate>
  <CharactersWithSpaces>1191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2025-04-18T07:17:00Z</dcterms:created>
  <dc:creator>张丽颖</dc:creator>
  <cp:lastModifiedBy>wangmeimei</cp:lastModifiedBy>
  <dcterms:modified xsi:type="dcterms:W3CDTF">2025-08-22T18:46:49Z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F80E944106274C8FB5878FA3B17F3527_13</vt:lpwstr>
  </property>
  <property fmtid="{D5CDD505-2E9C-101B-9397-08002B2CF9AE}" pid="4" name="KSOTemplateDocerSaveRecord">
    <vt:lpwstr>eyJoZGlkIjoiNTU3MTljYjk4ZWIzNTU4NjBkOTJlYzgzZThhZjhjNTIiLCJ1c2VySWQiOiIxNTE3NTI1NTU2In0=</vt:lpwstr>
  </property>
</Properties>
</file>