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388" w:type="dxa"/>
        <w:jc w:val="center"/>
        <w:tblLayout w:type="fixed"/>
        <w:tblCellMar>
          <w:top w:w="0" w:type="dxa"/>
          <w:left w:w="108" w:type="dxa"/>
          <w:bottom w:w="0" w:type="dxa"/>
          <w:right w:w="108" w:type="dxa"/>
        </w:tblCellMar>
      </w:tblPr>
      <w:tblGrid>
        <w:gridCol w:w="500"/>
        <w:gridCol w:w="1000"/>
        <w:gridCol w:w="1040"/>
        <w:gridCol w:w="735"/>
        <w:gridCol w:w="1121"/>
        <w:gridCol w:w="101"/>
        <w:gridCol w:w="1054"/>
        <w:gridCol w:w="800"/>
        <w:gridCol w:w="367"/>
        <w:gridCol w:w="211"/>
        <w:gridCol w:w="378"/>
        <w:gridCol w:w="303"/>
        <w:gridCol w:w="482"/>
        <w:gridCol w:w="2296"/>
      </w:tblGrid>
      <w:tr>
        <w:tblPrEx>
          <w:tblCellMar>
            <w:top w:w="0" w:type="dxa"/>
            <w:left w:w="108" w:type="dxa"/>
            <w:bottom w:w="0" w:type="dxa"/>
            <w:right w:w="108" w:type="dxa"/>
          </w:tblCellMar>
        </w:tblPrEx>
        <w:trPr>
          <w:trHeight w:val="816" w:hRule="exact"/>
          <w:jc w:val="center"/>
        </w:trPr>
        <w:tc>
          <w:tcPr>
            <w:tcW w:w="10388" w:type="dxa"/>
            <w:gridSpan w:val="14"/>
            <w:tcBorders>
              <w:top w:val="nil"/>
              <w:left w:val="nil"/>
              <w:bottom w:val="nil"/>
              <w:right w:val="nil"/>
            </w:tcBorders>
            <w:vAlign w:val="center"/>
          </w:tcPr>
          <w:p>
            <w:pPr>
              <w:widowControl/>
              <w:spacing w:line="500" w:lineRule="exact"/>
              <w:ind w:firstLine="643"/>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388" w:type="dxa"/>
            <w:gridSpan w:val="14"/>
            <w:tcBorders>
              <w:top w:val="nil"/>
              <w:left w:val="nil"/>
              <w:bottom w:val="nil"/>
              <w:right w:val="nil"/>
            </w:tcBorders>
          </w:tcPr>
          <w:p>
            <w:pPr>
              <w:widowControl/>
              <w:ind w:firstLine="440"/>
              <w:jc w:val="center"/>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2023年度）</w:t>
            </w:r>
          </w:p>
        </w:tc>
      </w:tr>
      <w:tr>
        <w:tblPrEx>
          <w:tblCellMar>
            <w:top w:w="0" w:type="dxa"/>
            <w:left w:w="108" w:type="dxa"/>
            <w:bottom w:w="0" w:type="dxa"/>
            <w:right w:w="108" w:type="dxa"/>
          </w:tblCellMar>
        </w:tblPrEx>
        <w:trPr>
          <w:trHeight w:val="291" w:hRule="exac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项目名称</w:t>
            </w:r>
          </w:p>
        </w:tc>
        <w:tc>
          <w:tcPr>
            <w:tcW w:w="8888" w:type="dxa"/>
            <w:gridSpan w:val="1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办公用房租赁类项目</w:t>
            </w:r>
          </w:p>
        </w:tc>
      </w:tr>
      <w:tr>
        <w:tblPrEx>
          <w:tblCellMar>
            <w:top w:w="0" w:type="dxa"/>
            <w:left w:w="108" w:type="dxa"/>
            <w:bottom w:w="0" w:type="dxa"/>
            <w:right w:w="108" w:type="dxa"/>
          </w:tblCellMar>
        </w:tblPrEx>
        <w:trPr>
          <w:trHeight w:val="530" w:hRule="exac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主管部门</w:t>
            </w:r>
          </w:p>
        </w:tc>
        <w:tc>
          <w:tcPr>
            <w:tcW w:w="4051"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北京市文化市场综合执法总队</w:t>
            </w: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实施单位</w:t>
            </w:r>
          </w:p>
        </w:tc>
        <w:tc>
          <w:tcPr>
            <w:tcW w:w="3670"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北京市文化市场综合执法总队</w:t>
            </w:r>
          </w:p>
          <w:p>
            <w:pPr>
              <w:spacing w:line="240" w:lineRule="exact"/>
              <w:ind w:firstLine="0" w:firstLineChars="0"/>
              <w:jc w:val="center"/>
              <w:rPr>
                <w:rFonts w:asciiTheme="minorEastAsia" w:hAnsiTheme="minorEastAsia" w:eastAsiaTheme="minorEastAsia" w:cstheme="minorEastAsia"/>
                <w:kern w:val="0"/>
                <w:sz w:val="18"/>
                <w:szCs w:val="18"/>
              </w:rPr>
            </w:pPr>
            <w:bookmarkStart w:id="0" w:name="_GoBack"/>
            <w:bookmarkEnd w:id="0"/>
            <w:r>
              <w:rPr>
                <w:rFonts w:hint="eastAsia" w:asciiTheme="minorEastAsia" w:hAnsiTheme="minorEastAsia" w:eastAsiaTheme="minorEastAsia" w:cstheme="minorEastAsia"/>
                <w:kern w:val="0"/>
                <w:sz w:val="18"/>
                <w:szCs w:val="18"/>
              </w:rPr>
              <w:t>办公室（装备财务处）</w:t>
            </w:r>
          </w:p>
        </w:tc>
      </w:tr>
      <w:tr>
        <w:tblPrEx>
          <w:tblCellMar>
            <w:top w:w="0" w:type="dxa"/>
            <w:left w:w="108" w:type="dxa"/>
            <w:bottom w:w="0" w:type="dxa"/>
            <w:right w:w="108" w:type="dxa"/>
          </w:tblCellMar>
        </w:tblPrEx>
        <w:trPr>
          <w:trHeight w:val="291" w:hRule="exac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项目负责人</w:t>
            </w:r>
          </w:p>
        </w:tc>
        <w:tc>
          <w:tcPr>
            <w:tcW w:w="4051"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王辉</w:t>
            </w: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联系电话</w:t>
            </w:r>
          </w:p>
        </w:tc>
        <w:tc>
          <w:tcPr>
            <w:tcW w:w="3670"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asciiTheme="minorEastAsia" w:hAnsiTheme="minorEastAsia" w:eastAsiaTheme="minorEastAsia" w:cstheme="minorEastAsia"/>
                <w:kern w:val="0"/>
                <w:sz w:val="18"/>
                <w:szCs w:val="18"/>
              </w:rPr>
              <w:t>8915621</w:t>
            </w:r>
            <w:r>
              <w:rPr>
                <w:rFonts w:hint="eastAsia" w:asciiTheme="minorEastAsia" w:hAnsiTheme="minorEastAsia" w:eastAsiaTheme="minorEastAsia" w:cstheme="minorEastAsia"/>
                <w:kern w:val="0"/>
                <w:sz w:val="18"/>
                <w:szCs w:val="18"/>
              </w:rPr>
              <w:t>1</w:t>
            </w:r>
          </w:p>
        </w:tc>
      </w:tr>
      <w:tr>
        <w:tblPrEx>
          <w:tblCellMar>
            <w:top w:w="0" w:type="dxa"/>
            <w:left w:w="108" w:type="dxa"/>
            <w:bottom w:w="0" w:type="dxa"/>
            <w:right w:w="108" w:type="dxa"/>
          </w:tblCellMar>
        </w:tblPrEx>
        <w:trPr>
          <w:trHeight w:val="559" w:hRule="exact"/>
          <w:jc w:val="center"/>
        </w:trPr>
        <w:tc>
          <w:tcPr>
            <w:tcW w:w="150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jc w:val="left"/>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项目资金（万元）</w:t>
            </w:r>
          </w:p>
        </w:tc>
        <w:tc>
          <w:tcPr>
            <w:tcW w:w="177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121"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年初     预算数</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     预算数</w:t>
            </w: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     执行数</w:t>
            </w:r>
          </w:p>
        </w:tc>
        <w:tc>
          <w:tcPr>
            <w:tcW w:w="58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78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执行率</w:t>
            </w:r>
          </w:p>
        </w:tc>
        <w:tc>
          <w:tcPr>
            <w:tcW w:w="2296"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r>
      <w:tr>
        <w:tblPrEx>
          <w:tblCellMar>
            <w:top w:w="0" w:type="dxa"/>
            <w:left w:w="108" w:type="dxa"/>
            <w:bottom w:w="0" w:type="dxa"/>
            <w:right w:w="108" w:type="dxa"/>
          </w:tblCellMar>
        </w:tblPrEx>
        <w:trPr>
          <w:trHeight w:val="291" w:hRule="exact"/>
          <w:jc w:val="center"/>
        </w:trPr>
        <w:tc>
          <w:tcPr>
            <w:tcW w:w="150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77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年度资金总额</w:t>
            </w:r>
          </w:p>
        </w:tc>
        <w:tc>
          <w:tcPr>
            <w:tcW w:w="1121"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196.000000</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196.000000</w:t>
            </w: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196.000000</w:t>
            </w:r>
          </w:p>
        </w:tc>
        <w:tc>
          <w:tcPr>
            <w:tcW w:w="58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8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2296"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r>
      <w:tr>
        <w:tblPrEx>
          <w:tblCellMar>
            <w:top w:w="0" w:type="dxa"/>
            <w:left w:w="108" w:type="dxa"/>
            <w:bottom w:w="0" w:type="dxa"/>
            <w:right w:w="108" w:type="dxa"/>
          </w:tblCellMar>
        </w:tblPrEx>
        <w:trPr>
          <w:trHeight w:val="291" w:hRule="exact"/>
          <w:jc w:val="center"/>
        </w:trPr>
        <w:tc>
          <w:tcPr>
            <w:tcW w:w="150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77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其中：当年财政拨款</w:t>
            </w:r>
          </w:p>
        </w:tc>
        <w:tc>
          <w:tcPr>
            <w:tcW w:w="1121"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196.000000</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196.000000</w:t>
            </w: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196.000000</w:t>
            </w:r>
          </w:p>
        </w:tc>
        <w:tc>
          <w:tcPr>
            <w:tcW w:w="58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78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2296"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r>
      <w:tr>
        <w:tblPrEx>
          <w:tblCellMar>
            <w:top w:w="0" w:type="dxa"/>
            <w:left w:w="108" w:type="dxa"/>
            <w:bottom w:w="0" w:type="dxa"/>
            <w:right w:w="108" w:type="dxa"/>
          </w:tblCellMar>
        </w:tblPrEx>
        <w:trPr>
          <w:trHeight w:val="291" w:hRule="exact"/>
          <w:jc w:val="center"/>
        </w:trPr>
        <w:tc>
          <w:tcPr>
            <w:tcW w:w="150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77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上年结转资金</w:t>
            </w:r>
          </w:p>
        </w:tc>
        <w:tc>
          <w:tcPr>
            <w:tcW w:w="1121"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58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78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2296"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tblPrEx>
          <w:tblCellMar>
            <w:top w:w="0" w:type="dxa"/>
            <w:left w:w="108" w:type="dxa"/>
            <w:bottom w:w="0" w:type="dxa"/>
            <w:right w:w="108" w:type="dxa"/>
          </w:tblCellMar>
        </w:tblPrEx>
        <w:trPr>
          <w:trHeight w:val="291" w:hRule="exact"/>
          <w:jc w:val="center"/>
        </w:trPr>
        <w:tc>
          <w:tcPr>
            <w:tcW w:w="150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77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其他资金</w:t>
            </w:r>
          </w:p>
        </w:tc>
        <w:tc>
          <w:tcPr>
            <w:tcW w:w="1121"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16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58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78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2296"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tblPrEx>
          <w:tblCellMar>
            <w:top w:w="0" w:type="dxa"/>
            <w:left w:w="108" w:type="dxa"/>
            <w:bottom w:w="0" w:type="dxa"/>
            <w:right w:w="108" w:type="dxa"/>
          </w:tblCellMar>
        </w:tblPrEx>
        <w:trPr>
          <w:trHeight w:val="291" w:hRule="exact"/>
          <w:jc w:val="center"/>
        </w:trPr>
        <w:tc>
          <w:tcPr>
            <w:tcW w:w="500" w:type="dxa"/>
            <w:vMerge w:val="restart"/>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年度总体目标</w:t>
            </w:r>
          </w:p>
        </w:tc>
        <w:tc>
          <w:tcPr>
            <w:tcW w:w="5051" w:type="dxa"/>
            <w:gridSpan w:val="6"/>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预期目标</w:t>
            </w:r>
          </w:p>
        </w:tc>
        <w:tc>
          <w:tcPr>
            <w:tcW w:w="4837" w:type="dxa"/>
            <w:gridSpan w:val="7"/>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实际完成情况</w:t>
            </w:r>
          </w:p>
        </w:tc>
      </w:tr>
      <w:tr>
        <w:tblPrEx>
          <w:tblCellMar>
            <w:top w:w="0" w:type="dxa"/>
            <w:left w:w="108" w:type="dxa"/>
            <w:bottom w:w="0" w:type="dxa"/>
            <w:right w:w="108" w:type="dxa"/>
          </w:tblCellMar>
        </w:tblPrEx>
        <w:trPr>
          <w:trHeight w:val="2012" w:hRule="exact"/>
          <w:jc w:val="center"/>
        </w:trPr>
        <w:tc>
          <w:tcPr>
            <w:tcW w:w="500" w:type="dxa"/>
            <w:vMerge w:val="continue"/>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5051" w:type="dxa"/>
            <w:gridSpan w:val="6"/>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对执法收缴的非法物品租用库房集中保管，并委托专业仓储物流式管理，做到注意登记，定位管理。出入库有等级，防止物品流失，及时销毁。</w:t>
            </w:r>
          </w:p>
        </w:tc>
        <w:tc>
          <w:tcPr>
            <w:tcW w:w="4837" w:type="dxa"/>
            <w:gridSpan w:val="7"/>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办公用房租赁类项目满足了总队文化市场检查和对文化市场违法违规行为、非法物品收缴及集中安全管理的要求。实现了对全市文化执法工作中收缴和罚没的非法图书、期刊、盗版光盘等非法经营物品进行统一存储和处置，同时加强规范管理，委托专业公司对库房罚没物品（参照资产管理方式）进行专业化物流定位管理。确保收缴罚没物品及时处置，不回流的总体绩效目标。</w:t>
            </w:r>
            <w:r>
              <w:rPr>
                <w:rFonts w:hint="eastAsia" w:asciiTheme="minorEastAsia" w:hAnsiTheme="minorEastAsia" w:eastAsiaTheme="minorEastAsia" w:cstheme="minorEastAsia"/>
                <w:kern w:val="0"/>
                <w:sz w:val="18"/>
                <w:szCs w:val="18"/>
              </w:rPr>
              <w:tab/>
            </w:r>
          </w:p>
        </w:tc>
      </w:tr>
      <w:tr>
        <w:tblPrEx>
          <w:tblCellMar>
            <w:top w:w="0" w:type="dxa"/>
            <w:left w:w="108" w:type="dxa"/>
            <w:bottom w:w="0" w:type="dxa"/>
            <w:right w:w="108" w:type="dxa"/>
          </w:tblCellMar>
        </w:tblPrEx>
        <w:trPr>
          <w:trHeight w:val="502" w:hRule="exact"/>
          <w:jc w:val="center"/>
        </w:trPr>
        <w:tc>
          <w:tcPr>
            <w:tcW w:w="500"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绩</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效</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指</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标</w:t>
            </w: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一级指标</w:t>
            </w: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二级指标</w:t>
            </w:r>
          </w:p>
        </w:tc>
        <w:tc>
          <w:tcPr>
            <w:tcW w:w="195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三级指标</w:t>
            </w:r>
          </w:p>
        </w:tc>
        <w:tc>
          <w:tcPr>
            <w:tcW w:w="1054"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指标值</w:t>
            </w:r>
          </w:p>
        </w:tc>
        <w:tc>
          <w:tcPr>
            <w:tcW w:w="800"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完成值</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偏差原因分析及改进措施</w:t>
            </w:r>
          </w:p>
        </w:tc>
      </w:tr>
      <w:tr>
        <w:tblPrEx>
          <w:tblCellMar>
            <w:top w:w="0" w:type="dxa"/>
            <w:left w:w="108" w:type="dxa"/>
            <w:bottom w:w="0" w:type="dxa"/>
            <w:right w:w="108" w:type="dxa"/>
          </w:tblCellMar>
        </w:tblPrEx>
        <w:trPr>
          <w:trHeight w:val="1054" w:hRule="exact"/>
          <w:jc w:val="center"/>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产出指标</w:t>
            </w: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数量指标</w:t>
            </w:r>
          </w:p>
        </w:tc>
        <w:tc>
          <w:tcPr>
            <w:tcW w:w="195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签订房租和库管合同一份，租期一年，储位2500个，全年仓储物流服务。</w:t>
            </w:r>
          </w:p>
        </w:tc>
        <w:tc>
          <w:tcPr>
            <w:tcW w:w="1054"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2500</w:t>
            </w:r>
          </w:p>
        </w:tc>
        <w:tc>
          <w:tcPr>
            <w:tcW w:w="800"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2572</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510" w:hRule="exact"/>
          <w:jc w:val="center"/>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质量指标</w:t>
            </w:r>
          </w:p>
        </w:tc>
        <w:tc>
          <w:tcPr>
            <w:tcW w:w="195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库房安全使用率100%</w:t>
            </w:r>
          </w:p>
        </w:tc>
        <w:tc>
          <w:tcPr>
            <w:tcW w:w="1054"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800"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510" w:hRule="exact"/>
          <w:jc w:val="center"/>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时效指标</w:t>
            </w:r>
          </w:p>
        </w:tc>
        <w:tc>
          <w:tcPr>
            <w:tcW w:w="195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租期一年，全年使用。</w:t>
            </w:r>
          </w:p>
        </w:tc>
        <w:tc>
          <w:tcPr>
            <w:tcW w:w="1054"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12</w:t>
            </w:r>
          </w:p>
        </w:tc>
        <w:tc>
          <w:tcPr>
            <w:tcW w:w="800"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12</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510" w:hRule="exact"/>
          <w:jc w:val="center"/>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成本指标</w:t>
            </w:r>
          </w:p>
        </w:tc>
        <w:tc>
          <w:tcPr>
            <w:tcW w:w="195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房租成本196万元</w:t>
            </w:r>
          </w:p>
        </w:tc>
        <w:tc>
          <w:tcPr>
            <w:tcW w:w="1054"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w:t>
            </w:r>
          </w:p>
        </w:tc>
        <w:tc>
          <w:tcPr>
            <w:tcW w:w="800"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196</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260" w:hRule="exact"/>
          <w:jc w:val="center"/>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效益指标</w:t>
            </w: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社会效益指标</w:t>
            </w:r>
          </w:p>
        </w:tc>
        <w:tc>
          <w:tcPr>
            <w:tcW w:w="195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达到库房安全使用管理，符合仓储式出入库管理要求。做到物品管理有序，及时销毁，防止流失。</w:t>
            </w:r>
          </w:p>
        </w:tc>
        <w:tc>
          <w:tcPr>
            <w:tcW w:w="1054"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优良中低差</w:t>
            </w:r>
          </w:p>
        </w:tc>
        <w:tc>
          <w:tcPr>
            <w:tcW w:w="800" w:type="dxa"/>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优</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40</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40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2805" w:hRule="exact"/>
          <w:jc w:val="center"/>
        </w:trPr>
        <w:tc>
          <w:tcPr>
            <w:tcW w:w="500" w:type="dxa"/>
            <w:vMerge w:val="continue"/>
            <w:tcBorders>
              <w:top w:val="single" w:color="auto" w:sz="4" w:space="0"/>
              <w:left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p>
        </w:tc>
        <w:tc>
          <w:tcPr>
            <w:tcW w:w="1000" w:type="dxa"/>
            <w:tcBorders>
              <w:top w:val="single" w:color="auto" w:sz="4" w:space="0"/>
              <w:left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满意度</w:t>
            </w:r>
          </w:p>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1040"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服务对象满意度指标</w:t>
            </w:r>
          </w:p>
        </w:tc>
        <w:tc>
          <w:tcPr>
            <w:tcW w:w="1957" w:type="dxa"/>
            <w:gridSpan w:val="3"/>
            <w:tcBorders>
              <w:top w:val="single" w:color="auto" w:sz="4" w:space="0"/>
              <w:left w:val="nil"/>
              <w:bottom w:val="single" w:color="auto" w:sz="4" w:space="0"/>
              <w:right w:val="single" w:color="auto" w:sz="4" w:space="0"/>
            </w:tcBorders>
            <w:vAlign w:val="center"/>
          </w:tcPr>
          <w:p>
            <w:pPr>
              <w:spacing w:line="240" w:lineRule="exact"/>
              <w:ind w:firstLine="0" w:firstLineChars="0"/>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库房使用人员满意度≥95%</w:t>
            </w:r>
          </w:p>
        </w:tc>
        <w:tc>
          <w:tcPr>
            <w:tcW w:w="1054"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95</w:t>
            </w:r>
          </w:p>
        </w:tc>
        <w:tc>
          <w:tcPr>
            <w:tcW w:w="800"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5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681"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both"/>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w:t>
            </w:r>
            <w:r>
              <w:rPr>
                <w:rFonts w:hint="eastAsia" w:asciiTheme="minorEastAsia" w:hAnsiTheme="minorEastAsia" w:eastAsiaTheme="minorEastAsia" w:cstheme="minorEastAsia"/>
                <w:kern w:val="0"/>
                <w:sz w:val="18"/>
                <w:szCs w:val="18"/>
                <w:lang w:val="en-US" w:eastAsia="zh-CN"/>
              </w:rPr>
              <w:t>未开展满意度调查工作</w:t>
            </w:r>
            <w:r>
              <w:rPr>
                <w:rFonts w:hint="eastAsia" w:asciiTheme="minorEastAsia" w:hAnsiTheme="minorEastAsia" w:eastAsiaTheme="minorEastAsia" w:cstheme="minorEastAsia"/>
                <w:kern w:val="0"/>
                <w:sz w:val="18"/>
                <w:szCs w:val="18"/>
              </w:rPr>
              <w:t>。</w:t>
            </w:r>
          </w:p>
          <w:p>
            <w:pPr>
              <w:spacing w:line="240" w:lineRule="exact"/>
              <w:ind w:firstLine="0" w:firstLineChars="0"/>
              <w:jc w:val="both"/>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改进措施：</w:t>
            </w:r>
            <w:r>
              <w:rPr>
                <w:rFonts w:hint="eastAsia" w:asciiTheme="minorEastAsia" w:hAnsiTheme="minorEastAsia" w:eastAsiaTheme="minorEastAsia" w:cstheme="minorEastAsia"/>
                <w:kern w:val="0"/>
                <w:sz w:val="18"/>
                <w:szCs w:val="18"/>
                <w:lang w:val="en-US" w:eastAsia="zh-CN"/>
              </w:rPr>
              <w:t>严格按照年度目标及指标要求开展满意度调查工作</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针对项目服务对象设计满意度调查问卷并发放</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回收有效问卷并进行分析，得出服务对象对项目的综合满意度，并深度挖掘项目存在的问题，</w:t>
            </w:r>
            <w:r>
              <w:rPr>
                <w:rFonts w:hint="eastAsia" w:asciiTheme="minorEastAsia" w:hAnsiTheme="minorEastAsia" w:eastAsiaTheme="minorEastAsia" w:cstheme="minorEastAsia"/>
                <w:kern w:val="0"/>
                <w:sz w:val="18"/>
                <w:szCs w:val="18"/>
              </w:rPr>
              <w:t>为今后进一步规范项目管理、提高项目实施效果、改进自身工作提供依据。</w:t>
            </w:r>
          </w:p>
        </w:tc>
      </w:tr>
      <w:tr>
        <w:tblPrEx>
          <w:tblCellMar>
            <w:top w:w="0" w:type="dxa"/>
            <w:left w:w="108" w:type="dxa"/>
            <w:bottom w:w="0" w:type="dxa"/>
            <w:right w:w="108" w:type="dxa"/>
          </w:tblCellMar>
        </w:tblPrEx>
        <w:trPr>
          <w:trHeight w:val="441" w:hRule="exact"/>
          <w:jc w:val="center"/>
        </w:trPr>
        <w:tc>
          <w:tcPr>
            <w:tcW w:w="6351"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总分</w:t>
            </w:r>
          </w:p>
        </w:tc>
        <w:tc>
          <w:tcPr>
            <w:tcW w:w="578"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68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90</w:t>
            </w:r>
            <w:r>
              <w:rPr>
                <w:rFonts w:hint="eastAsia" w:asciiTheme="minorEastAsia" w:hAnsiTheme="minorEastAsia" w:eastAsiaTheme="minorEastAsia" w:cstheme="minorEastAsia"/>
                <w:kern w:val="0"/>
                <w:sz w:val="18"/>
                <w:szCs w:val="18"/>
              </w:rPr>
              <w:t>.00</w:t>
            </w:r>
          </w:p>
        </w:tc>
        <w:tc>
          <w:tcPr>
            <w:tcW w:w="2778"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Theme="minorEastAsia" w:hAnsiTheme="minorEastAsia" w:eastAsiaTheme="minorEastAsia" w:cstheme="minorEastAsia"/>
                <w:kern w:val="0"/>
                <w:sz w:val="18"/>
                <w:szCs w:val="18"/>
                <w:lang w:val="en-US" w:eastAsia="zh-CN"/>
              </w:rPr>
            </w:pPr>
          </w:p>
        </w:tc>
      </w:tr>
    </w:tbl>
    <w:p>
      <w:pPr>
        <w:spacing w:line="560" w:lineRule="exact"/>
        <w:ind w:firstLine="640"/>
        <w:rPr>
          <w:rFonts w:ascii="仿宋" w:hAnsi="仿宋" w:eastAsia="仿宋" w:cs="仿宋"/>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574312"/>
    <w:rsid w:val="000754A0"/>
    <w:rsid w:val="00091C98"/>
    <w:rsid w:val="00250F66"/>
    <w:rsid w:val="002865DC"/>
    <w:rsid w:val="0032667F"/>
    <w:rsid w:val="003572F0"/>
    <w:rsid w:val="0056036A"/>
    <w:rsid w:val="00574312"/>
    <w:rsid w:val="0057505B"/>
    <w:rsid w:val="00652F7C"/>
    <w:rsid w:val="0066123E"/>
    <w:rsid w:val="006874A4"/>
    <w:rsid w:val="006F7BDA"/>
    <w:rsid w:val="007550DA"/>
    <w:rsid w:val="0078052B"/>
    <w:rsid w:val="00801D62"/>
    <w:rsid w:val="00827C46"/>
    <w:rsid w:val="008B1AD3"/>
    <w:rsid w:val="008F4AEB"/>
    <w:rsid w:val="00944FF3"/>
    <w:rsid w:val="009A6A19"/>
    <w:rsid w:val="009D6898"/>
    <w:rsid w:val="00AE6503"/>
    <w:rsid w:val="00C51A1E"/>
    <w:rsid w:val="00D63CF5"/>
    <w:rsid w:val="00E20F6B"/>
    <w:rsid w:val="00EC4BE4"/>
    <w:rsid w:val="01466517"/>
    <w:rsid w:val="074C2D49"/>
    <w:rsid w:val="0DEB3D4C"/>
    <w:rsid w:val="0E7E4FCE"/>
    <w:rsid w:val="0EBECF17"/>
    <w:rsid w:val="105F38E8"/>
    <w:rsid w:val="129854B0"/>
    <w:rsid w:val="16830631"/>
    <w:rsid w:val="1D9476FF"/>
    <w:rsid w:val="1E2966FA"/>
    <w:rsid w:val="244E5172"/>
    <w:rsid w:val="248219CF"/>
    <w:rsid w:val="459E157F"/>
    <w:rsid w:val="4B693428"/>
    <w:rsid w:val="565E627F"/>
    <w:rsid w:val="57CF2661"/>
    <w:rsid w:val="57FBEB40"/>
    <w:rsid w:val="59FABB35"/>
    <w:rsid w:val="5B97459C"/>
    <w:rsid w:val="5EFF0994"/>
    <w:rsid w:val="60002155"/>
    <w:rsid w:val="62A5763E"/>
    <w:rsid w:val="67DB669E"/>
    <w:rsid w:val="6AD72303"/>
    <w:rsid w:val="6B2D1527"/>
    <w:rsid w:val="6CDF10C0"/>
    <w:rsid w:val="6FEF2DB8"/>
    <w:rsid w:val="70804C68"/>
    <w:rsid w:val="73E61F63"/>
    <w:rsid w:val="76CF6967"/>
    <w:rsid w:val="77DE252D"/>
    <w:rsid w:val="78D54748"/>
    <w:rsid w:val="79375EED"/>
    <w:rsid w:val="7CDC075D"/>
    <w:rsid w:val="7D0F47AB"/>
    <w:rsid w:val="7D7658C3"/>
    <w:rsid w:val="7EB0D688"/>
    <w:rsid w:val="7EFBE229"/>
    <w:rsid w:val="7F2D6FA3"/>
    <w:rsid w:val="7FDFA173"/>
    <w:rsid w:val="9FFFC166"/>
    <w:rsid w:val="B7DD40A0"/>
    <w:rsid w:val="BAAE7366"/>
    <w:rsid w:val="BECFEC08"/>
    <w:rsid w:val="CBDF900B"/>
    <w:rsid w:val="D776C70B"/>
    <w:rsid w:val="D97DB075"/>
    <w:rsid w:val="DF7E855F"/>
    <w:rsid w:val="DFD35BB6"/>
    <w:rsid w:val="E4275427"/>
    <w:rsid w:val="E4FD3A8F"/>
    <w:rsid w:val="F6FD9399"/>
    <w:rsid w:val="FBDC0A91"/>
    <w:rsid w:val="FBFD75A3"/>
    <w:rsid w:val="FDBB7DA4"/>
    <w:rsid w:val="FF3D1743"/>
    <w:rsid w:val="FFF770D1"/>
    <w:rsid w:val="FFFFE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EACB3EF4-5E0E-481A-992C-7A56AC8F79D9}">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147</Words>
  <Characters>838</Characters>
  <Lines>6</Lines>
  <Paragraphs>1</Paragraphs>
  <TotalTime>3</TotalTime>
  <ScaleCrop>false</ScaleCrop>
  <LinksUpToDate>false</LinksUpToDate>
  <CharactersWithSpaces>984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2024-03-21T07:24:00Z</dcterms:created>
  <dc:creator>wyj45</dc:creator>
  <cp:lastModifiedBy>暖暖的秋天</cp:lastModifiedBy>
  <cp:lastPrinted>2024-04-15T22:29:00Z</cp:lastPrinted>
  <dcterms:modified xsi:type="dcterms:W3CDTF">2024-05-16T05:29:44Z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