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北京市文化市场综合执法总队《非特定主体检查单》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hint="eastAsia" w:ascii="仿宋" w:hAnsi="仿宋" w:eastAsia="仿宋" w:cs="仿宋"/>
          <w:sz w:val="30"/>
          <w:szCs w:val="30"/>
        </w:rPr>
        <w:t>相关活动</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在寺观教堂外修建大型露天宗教造像以外的其他露天宗教造像的行为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是否存在在寺观教堂外修建大型露天宗教造像以外的其他露天宗教造像的行为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不存在在寺观教堂外修建大型露天宗教造像以外的其他露天宗教造像的行为</w:t>
      </w:r>
      <w:r>
        <w:rPr>
          <w:rFonts w:hint="eastAsia" w:ascii="仿宋" w:hAnsi="仿宋" w:eastAsia="仿宋"/>
          <w:sz w:val="30"/>
          <w:szCs w:val="30"/>
          <w:lang w:eastAsia="zh-CN"/>
        </w:rPr>
        <w:t>。</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不合格情形：</w:t>
      </w:r>
      <w:r>
        <w:rPr>
          <w:rFonts w:hint="eastAsia" w:ascii="仿宋" w:hAnsi="仿宋" w:eastAsia="仿宋"/>
          <w:sz w:val="30"/>
          <w:szCs w:val="30"/>
        </w:rPr>
        <w:t>存在在寺观教堂外修建大型露天宗教造像以外的其他露天宗教造像的行为</w:t>
      </w:r>
      <w:r>
        <w:rPr>
          <w:rFonts w:hint="eastAsia" w:ascii="仿宋" w:hAnsi="仿宋" w:eastAsia="仿宋"/>
          <w:sz w:val="30"/>
          <w:szCs w:val="30"/>
          <w:lang w:eastAsia="zh-CN"/>
        </w:rPr>
        <w:t>。</w:t>
      </w:r>
      <w:bookmarkStart w:id="0" w:name="_GoBack"/>
      <w:bookmarkEnd w:id="0"/>
    </w:p>
    <w:p>
      <w:pPr>
        <w:spacing w:line="560" w:lineRule="exact"/>
        <w:ind w:firstLine="640" w:firstLineChars="200"/>
        <w:rPr>
          <w:rFonts w:ascii="黑体" w:hAnsi="黑体" w:eastAsia="仿宋"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5409"/>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94AED"/>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C4673"/>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66DBB"/>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BBF38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31</Words>
  <Characters>180</Characters>
  <Lines>1</Lines>
  <Paragraphs>1</Paragraphs>
  <TotalTime>17</TotalTime>
  <ScaleCrop>false</ScaleCrop>
  <LinksUpToDate>false</LinksUpToDate>
  <CharactersWithSpaces>210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2025-07-15T17:44:30Z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D0D508942533458CFE2276680692C425_42</vt:lpwstr>
  </property>
</Properties>
</file>