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北京市文化市场综合执法总队《长城建设检查单》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长城建设情况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是否存在未采取《长城保护条例》规定的方式进行工程建设，或者因工程建设拆除、穿越、迁移长城的行为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是否存在未采取《长城保护条例》规定的方式进行工程建设，或者因工程建设拆除、穿越、迁移长城的行为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进行工程建设绕过长城；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无法绕过的，采取挖掘地下通道的方式通过长城；无法挖掘地下通道的，采取架设桥梁的方式通过长城。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未采取《长城保护条例》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规定</w:t>
      </w:r>
      <w:r>
        <w:rPr>
          <w:rFonts w:hint="eastAsia" w:ascii="仿宋_GB2312" w:hAnsi="仿宋_GB2312" w:eastAsia="仿宋_GB2312" w:cs="仿宋_GB2312"/>
          <w:sz w:val="32"/>
          <w:szCs w:val="32"/>
        </w:rPr>
        <w:t>的方式进行工程建设，或者因工程建设拆除、穿越、迁移长城的。</w:t>
      </w:r>
    </w:p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B01CD"/>
    <w:rsid w:val="08E830E6"/>
    <w:rsid w:val="32472A23"/>
    <w:rsid w:val="3B2D0502"/>
    <w:rsid w:val="4EAB3B60"/>
    <w:rsid w:val="64BB01CD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2021-09-09T09:58:00Z</dcterms:created>
  <dc:creator>侯东岳</dc:creator>
  <cp:lastModifiedBy>侯东岳</cp:lastModifiedBy>
  <dcterms:modified xsi:type="dcterms:W3CDTF">2021-09-10T02:14:27Z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62EABA758BAC40819ABB3FFCDC371581</vt:lpwstr>
  </property>
</Properties>
</file>