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北京市文化市场综合执法总队《文物市场检查单》</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文物市场经营活动情况</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是否存在买卖国家禁止买卖的文物的行为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是否存在买卖国家禁止买卖的文物的行为</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lang w:val="en-US" w:eastAsia="zh-CN"/>
        </w:rPr>
        <w:t>不存在买卖国家禁止买卖的文物</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lang w:val="en-US" w:eastAsia="zh-CN"/>
        </w:rPr>
        <w:t>公民、法人和其他组织存在买卖下列文物</w:t>
      </w:r>
      <w:bookmarkStart w:id="0" w:name="_GoBack"/>
      <w:bookmarkEnd w:id="0"/>
      <w:r>
        <w:rPr>
          <w:rFonts w:hint="eastAsia" w:ascii="仿宋_GB2312" w:hAnsi="仿宋_GB2312" w:eastAsia="仿宋_GB2312" w:cs="仿宋_GB2312"/>
          <w:sz w:val="32"/>
          <w:szCs w:val="32"/>
          <w:lang w:val="en-US" w:eastAsia="zh-CN"/>
        </w:rPr>
        <w:t>：</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（一）国有文物，但是国家允许的除外；</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（二）非国有馆藏珍贵文物；</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（三）国有不可移动文物中的壁画、雕塑、建筑构件等，但是依法拆除的国有不可移动文物中的壁画、雕塑、建筑构件等不属于本法第二十条第四款规定的应由文物收藏单位收藏的除外；</w:t>
      </w:r>
    </w:p>
    <w:p>
      <w:pPr>
        <w:spacing w:line="60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（四）来源不符合《中华人民共和国文物保护法》第五十条规定的文物。</w:t>
      </w:r>
    </w:p>
    <w:p>
      <w:pPr>
        <w:ind w:firstLine="420" w:firstLineChars="200"/>
      </w:pPr>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AC2227"/>
    <w:rsid w:val="08E830E6"/>
    <w:rsid w:val="32472A23"/>
    <w:rsid w:val="3B2D0502"/>
    <w:rsid w:val="656C5F4B"/>
    <w:rsid w:val="6B0E72F9"/>
    <w:rsid w:val="77A3593E"/>
    <w:rsid w:val="77AC2227"/>
    <w:rsid w:val="782A66B1"/>
    <w:rsid w:val="7FF40F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2021-09-09T08:50:00Z</dcterms:created>
  <dc:creator>侯东岳</dc:creator>
  <cp:lastModifiedBy>侯东岳</cp:lastModifiedBy>
  <dcterms:modified xsi:type="dcterms:W3CDTF">2021-09-09T09:02:27Z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1F82AC9EE6F24054BA76D25D42B6354C</vt:lpwstr>
  </property>
</Properties>
</file>